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50B" w:rsidRDefault="0066350B" w:rsidP="0066350B">
      <w:pPr>
        <w:spacing w:after="129" w:line="259" w:lineRule="auto"/>
        <w:ind w:left="-5" w:right="0"/>
        <w:jc w:val="center"/>
        <w:rPr>
          <w:b/>
        </w:rPr>
      </w:pPr>
      <w:r>
        <w:rPr>
          <w:b/>
        </w:rPr>
        <w:t>Примерные вопросы для оценки качества освоения дисциплины на зачете</w:t>
      </w:r>
    </w:p>
    <w:p w:rsidR="0066350B" w:rsidRDefault="0066350B" w:rsidP="0066350B">
      <w:pPr>
        <w:spacing w:after="129" w:line="259" w:lineRule="auto"/>
        <w:ind w:left="-5" w:right="0"/>
        <w:jc w:val="center"/>
      </w:pPr>
      <w:bookmarkStart w:id="0" w:name="_GoBack"/>
      <w:bookmarkEnd w:id="0"/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Определение статей расходов на персонал.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spacing w:after="0" w:line="398" w:lineRule="auto"/>
        <w:ind w:left="0" w:right="64" w:firstLine="709"/>
      </w:pPr>
      <w:r>
        <w:t xml:space="preserve">Порядок сбора информации от руководителей служб по конкретным направлениям работы.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Оплата труда наставников.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Отклонения в бюджете на оценку и аттестацию персонала.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Фонд оплаты труда: сущность, особенности планирования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Система планирования расходов на персонал.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Расчет затрат на организацию обучения, стажировок, тренингов.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spacing w:after="2" w:line="396" w:lineRule="auto"/>
        <w:ind w:left="0" w:right="64" w:firstLine="709"/>
      </w:pPr>
      <w:r>
        <w:t xml:space="preserve">Разработка критериев оценки перспективности сотрудников и подразделений.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Отклонения в бюджете на развитие персонала.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Определение статей расходов на оценку и аттестацию персонала.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Стадии бюджетирования.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Распределение ответственности за расходы на персонал.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spacing w:after="31" w:line="376" w:lineRule="auto"/>
        <w:ind w:left="0" w:right="64" w:firstLine="709"/>
      </w:pPr>
      <w:r>
        <w:t>Затраты на формирование положительного имиджа компании работодателя</w:t>
      </w:r>
      <w:proofErr w:type="gramStart"/>
      <w:r>
        <w:t>.</w:t>
      </w:r>
      <w:proofErr w:type="gramEnd"/>
      <w:r>
        <w:t xml:space="preserve"> </w:t>
      </w:r>
      <w:proofErr w:type="gramStart"/>
      <w:r>
        <w:t>з</w:t>
      </w:r>
      <w:proofErr w:type="gramEnd"/>
      <w:r>
        <w:t xml:space="preserve">атраты на организацию отборочных и конкурсных мероприятий.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Регламентирование процессов поиска и подбора персонала.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Анализ рисков инвестиций в развитие персонала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Уровни планирования.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Услуги посредников.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spacing w:after="0" w:line="398" w:lineRule="auto"/>
        <w:ind w:left="0" w:right="64" w:firstLine="709"/>
      </w:pPr>
      <w:r>
        <w:t xml:space="preserve">Анализ рабочей нагрузки сотрудников, бизнес-процессов, коммуникационных потоков с целью оптимизации затрат на персонал.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Отклонения в бюджете на поиск и подбор персонала.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Формализация испытательного срока.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lastRenderedPageBreak/>
        <w:t xml:space="preserve">Горизонт планирования. 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Разработка форматов кадрового планирования.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Учет издержек на ошибки новичков и брак в работе.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Отклонения в бюджете фонда оплаты труда.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Регламентирование процессов оценки и аттестации персонала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Раскрытие основных понятий: бюджет, бюджетирование.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proofErr w:type="spellStart"/>
      <w:r>
        <w:t>Хедхантинг</w:t>
      </w:r>
      <w:proofErr w:type="spellEnd"/>
      <w:r>
        <w:t xml:space="preserve">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Расходы на внешних и внутренних экспертов.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ind w:left="0" w:right="64" w:firstLine="709"/>
      </w:pPr>
      <w:r>
        <w:t xml:space="preserve">Отклонения в бюджете на адаптацию персонала. </w:t>
      </w:r>
    </w:p>
    <w:p w:rsidR="0066350B" w:rsidRDefault="0066350B" w:rsidP="0066350B">
      <w:pPr>
        <w:numPr>
          <w:ilvl w:val="0"/>
          <w:numId w:val="1"/>
        </w:numPr>
        <w:tabs>
          <w:tab w:val="left" w:pos="1134"/>
        </w:tabs>
        <w:spacing w:after="0" w:line="397" w:lineRule="auto"/>
        <w:ind w:left="0" w:right="64" w:firstLine="709"/>
      </w:pPr>
      <w:r>
        <w:t xml:space="preserve">Регламентирование процессов обучения и карьерного продвижения сотрудников. </w:t>
      </w:r>
    </w:p>
    <w:p w:rsidR="00486F46" w:rsidRDefault="00486F46"/>
    <w:sectPr w:rsidR="00486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3178F5"/>
    <w:multiLevelType w:val="hybridMultilevel"/>
    <w:tmpl w:val="435CA538"/>
    <w:lvl w:ilvl="0" w:tplc="EEC49F3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6AEBF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50940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F65F4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DC8EB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3A36C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EA130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26CB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4640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50B"/>
    <w:rsid w:val="00486F46"/>
    <w:rsid w:val="0066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0B"/>
    <w:pPr>
      <w:spacing w:after="176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50B"/>
    <w:pPr>
      <w:spacing w:after="176" w:line="268" w:lineRule="auto"/>
      <w:ind w:left="10" w:right="71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2022-11-04T19:19:00Z</dcterms:created>
  <dcterms:modified xsi:type="dcterms:W3CDTF">2022-11-04T19:19:00Z</dcterms:modified>
</cp:coreProperties>
</file>